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10U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5-6,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7,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Kara Yanacheck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Yanacheck@outlook.com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xAG7c1LLBLlo0rq1FMmx+3j7A==">CgMxLjA4AHIhMVNGbWxFTlBvaERnTVFHY3N3RWlSZGFvTk5CZUI1NU82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2026-03-17T12:47:00Z</dcterms:created>
  <dc:creator>Quentin Moller</dc:creator>
</cp:coreProperties>
</file>